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9DA7" w14:textId="77777777" w:rsidR="007605E0" w:rsidRPr="007605E0" w:rsidRDefault="007605E0" w:rsidP="007605E0">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05E0">
        <w:rPr>
          <w:rFonts w:ascii="Times New Roman" w:eastAsia="Times New Roman" w:hAnsi="Times New Roman" w:cs="Times New Roman"/>
          <w:b/>
          <w:bCs/>
          <w:kern w:val="36"/>
          <w:sz w:val="48"/>
          <w:szCs w:val="48"/>
          <w:rtl/>
          <w14:ligatures w14:val="none"/>
        </w:rPr>
        <w:t>محاضرة: المستوطنات العبيدية في الخليج العربي وأهميتها في الكشف عن العلاقة الحضارية مع بلاد وادي الرافدين</w:t>
      </w:r>
    </w:p>
    <w:p w14:paraId="0EB90DC7" w14:textId="77777777" w:rsidR="007605E0" w:rsidRPr="007605E0" w:rsidRDefault="007605E0" w:rsidP="007605E0">
      <w:pPr>
        <w:bidi w:val="0"/>
        <w:spacing w:before="100" w:beforeAutospacing="1" w:after="100" w:afterAutospacing="1" w:line="240" w:lineRule="auto"/>
        <w:rPr>
          <w:rFonts w:ascii="Times New Roman" w:hAnsi="Times New Roman" w:cs="Times New Roman"/>
          <w:kern w:val="0"/>
          <w14:ligatures w14:val="none"/>
        </w:rPr>
      </w:pPr>
    </w:p>
    <w:p w14:paraId="6C523361" w14:textId="77777777" w:rsidR="007605E0" w:rsidRPr="007605E0" w:rsidRDefault="007605E0" w:rsidP="007605E0">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05E0">
        <w:rPr>
          <w:rFonts w:ascii="Times New Roman" w:eastAsia="Times New Roman" w:hAnsi="Times New Roman" w:cs="Times New Roman"/>
          <w:b/>
          <w:bCs/>
          <w:kern w:val="0"/>
          <w:sz w:val="36"/>
          <w:szCs w:val="36"/>
          <w:rtl/>
          <w14:ligatures w14:val="none"/>
        </w:rPr>
        <w:t>المقدمة</w:t>
      </w:r>
    </w:p>
    <w:p w14:paraId="2889F0E6" w14:textId="77777777" w:rsidR="007605E0" w:rsidRPr="007605E0" w:rsidRDefault="007605E0" w:rsidP="007605E0">
      <w:pPr>
        <w:bidi w:val="0"/>
        <w:spacing w:before="100" w:beforeAutospacing="1" w:after="100" w:afterAutospacing="1" w:line="240" w:lineRule="auto"/>
        <w:rPr>
          <w:rFonts w:ascii="Times New Roman" w:hAnsi="Times New Roman" w:cs="Times New Roman"/>
          <w:kern w:val="0"/>
          <w14:ligatures w14:val="none"/>
        </w:rPr>
      </w:pPr>
    </w:p>
    <w:p w14:paraId="4EEB672B" w14:textId="77777777" w:rsidR="007605E0" w:rsidRPr="007605E0" w:rsidRDefault="007605E0" w:rsidP="007605E0">
      <w:pPr>
        <w:spacing w:before="100" w:beforeAutospacing="1" w:after="100" w:afterAutospacing="1" w:line="240" w:lineRule="auto"/>
        <w:rPr>
          <w:rFonts w:ascii="Times New Roman" w:hAnsi="Times New Roman" w:cs="Times New Roman"/>
          <w:kern w:val="0"/>
          <w14:ligatures w14:val="none"/>
        </w:rPr>
      </w:pPr>
      <w:r w:rsidRPr="007605E0">
        <w:rPr>
          <w:rFonts w:ascii="Times New Roman" w:hAnsi="Times New Roman" w:cs="Times New Roman"/>
          <w:kern w:val="0"/>
          <w:rtl/>
          <w14:ligatures w14:val="none"/>
        </w:rPr>
        <w:t>الحمد لله الذي علّم الإنسان ما لم يعلم، والصلاة والسلام على سيدنا محمد وعلى آله وصحبه أجمعين.</w:t>
      </w:r>
    </w:p>
    <w:p w14:paraId="37E1BEA1" w14:textId="77777777" w:rsidR="007605E0" w:rsidRPr="007605E0" w:rsidRDefault="007605E0" w:rsidP="007605E0">
      <w:p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إن دراسة المستوطنات العبيدية في الخليج العربي تفتح لنا نافذة مهمة لفهم العلاقات الحضارية المبكرة بين بلاد وادي الرافدين (جنوب العراق حاليًا) وسواحل الخليج. فهذه المستوطنات، التي تعود إلى الألف السادس قبل الميلاد، تعد دليلاً أثريًا قويًا على التفاعل الثقافي والاقتصادي بين المنطقتين.</w:t>
      </w:r>
    </w:p>
    <w:p w14:paraId="6A5AF071" w14:textId="77777777" w:rsidR="007605E0" w:rsidRPr="007605E0" w:rsidRDefault="007605E0" w:rsidP="007605E0">
      <w:pPr>
        <w:bidi w:val="0"/>
        <w:spacing w:after="0" w:line="240" w:lineRule="auto"/>
        <w:rPr>
          <w:rFonts w:ascii="Times New Roman" w:eastAsia="Times New Roman" w:hAnsi="Times New Roman" w:cs="Times New Roman"/>
          <w:kern w:val="0"/>
          <w:rtl/>
          <w14:ligatures w14:val="none"/>
        </w:rPr>
      </w:pPr>
      <w:r w:rsidRPr="007605E0">
        <w:rPr>
          <w:rFonts w:ascii="Times New Roman" w:eastAsia="Times New Roman" w:hAnsi="Times New Roman" w:cs="Times New Roman"/>
          <w:noProof/>
          <w:kern w:val="0"/>
          <w14:ligatures w14:val="none"/>
        </w:rPr>
        <mc:AlternateContent>
          <mc:Choice Requires="wps">
            <w:drawing>
              <wp:inline distT="0" distB="0" distL="0" distR="0" wp14:anchorId="39C5D8A0" wp14:editId="76143C14">
                <wp:extent cx="5274310" cy="1270"/>
                <wp:effectExtent l="0" t="31750" r="0" b="36830"/>
                <wp:docPr id="2128045149"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0C227D"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DC7039B" w14:textId="77777777" w:rsidR="007605E0" w:rsidRPr="007605E0" w:rsidRDefault="007605E0" w:rsidP="007605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605E0">
        <w:rPr>
          <w:rFonts w:ascii="Times New Roman" w:eastAsia="Times New Roman" w:hAnsi="Times New Roman" w:cs="Times New Roman"/>
          <w:b/>
          <w:bCs/>
          <w:kern w:val="0"/>
          <w:sz w:val="36"/>
          <w:szCs w:val="36"/>
          <w:rtl/>
          <w14:ligatures w14:val="none"/>
        </w:rPr>
        <w:t>المحور الأول: لمحة عن حضارة العبيد</w:t>
      </w:r>
    </w:p>
    <w:p w14:paraId="16E22202" w14:textId="77777777" w:rsidR="007605E0" w:rsidRPr="007605E0" w:rsidRDefault="007605E0" w:rsidP="007605E0">
      <w:pPr>
        <w:numPr>
          <w:ilvl w:val="0"/>
          <w:numId w:val="1"/>
        </w:numPr>
        <w:spacing w:before="100" w:beforeAutospacing="1" w:after="100" w:afterAutospacing="1" w:line="240" w:lineRule="auto"/>
        <w:rPr>
          <w:rFonts w:ascii="Times New Roman" w:hAnsi="Times New Roman" w:cs="Times New Roman"/>
          <w:kern w:val="0"/>
          <w14:ligatures w14:val="none"/>
        </w:rPr>
      </w:pPr>
      <w:r w:rsidRPr="007605E0">
        <w:rPr>
          <w:rFonts w:ascii="Times New Roman" w:hAnsi="Times New Roman" w:cs="Times New Roman"/>
          <w:kern w:val="0"/>
          <w:rtl/>
          <w14:ligatures w14:val="none"/>
        </w:rPr>
        <w:t>نشأت في جنوب وادي الرافدين حوالي 6000 – 4000 ق.م.</w:t>
      </w:r>
    </w:p>
    <w:p w14:paraId="7C3F7240" w14:textId="77777777" w:rsidR="007605E0" w:rsidRPr="007605E0" w:rsidRDefault="007605E0" w:rsidP="007605E0">
      <w:pPr>
        <w:numPr>
          <w:ilvl w:val="0"/>
          <w:numId w:val="1"/>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تميزت بـ:</w:t>
      </w:r>
    </w:p>
    <w:p w14:paraId="290F050D" w14:textId="77777777" w:rsidR="007605E0" w:rsidRPr="007605E0" w:rsidRDefault="007605E0" w:rsidP="007605E0">
      <w:pPr>
        <w:numPr>
          <w:ilvl w:val="1"/>
          <w:numId w:val="1"/>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القرى الزراعية المستقرة.</w:t>
      </w:r>
    </w:p>
    <w:p w14:paraId="40418AAE" w14:textId="77777777" w:rsidR="007605E0" w:rsidRPr="007605E0" w:rsidRDefault="007605E0" w:rsidP="007605E0">
      <w:pPr>
        <w:numPr>
          <w:ilvl w:val="1"/>
          <w:numId w:val="1"/>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الفخار الملون المزخرف.</w:t>
      </w:r>
    </w:p>
    <w:p w14:paraId="2D720F93" w14:textId="77777777" w:rsidR="007605E0" w:rsidRPr="007605E0" w:rsidRDefault="007605E0" w:rsidP="007605E0">
      <w:pPr>
        <w:numPr>
          <w:ilvl w:val="1"/>
          <w:numId w:val="1"/>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ظهور التنظيم الاجتماعي الأولي.</w:t>
      </w:r>
    </w:p>
    <w:p w14:paraId="0BCC567E" w14:textId="77777777" w:rsidR="007605E0" w:rsidRPr="007605E0" w:rsidRDefault="007605E0" w:rsidP="007605E0">
      <w:pPr>
        <w:numPr>
          <w:ilvl w:val="1"/>
          <w:numId w:val="1"/>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بناء المعابد البسيطة التي تُعد نواة لاحقة للمعابد السومرية.</w:t>
      </w:r>
    </w:p>
    <w:p w14:paraId="391EDC51" w14:textId="77777777" w:rsidR="007605E0" w:rsidRPr="007605E0" w:rsidRDefault="007605E0" w:rsidP="007605E0">
      <w:pPr>
        <w:numPr>
          <w:ilvl w:val="0"/>
          <w:numId w:val="1"/>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تُعد حضارة العبيد الأساس الذي بُنيت عليه الحضارة السومرية فيما بعد.</w:t>
      </w:r>
    </w:p>
    <w:p w14:paraId="6FF6E045" w14:textId="77777777" w:rsidR="007605E0" w:rsidRPr="007605E0" w:rsidRDefault="007605E0" w:rsidP="007605E0">
      <w:pPr>
        <w:bidi w:val="0"/>
        <w:spacing w:after="0" w:line="240" w:lineRule="auto"/>
        <w:rPr>
          <w:rFonts w:ascii="Times New Roman" w:eastAsia="Times New Roman" w:hAnsi="Times New Roman" w:cs="Times New Roman"/>
          <w:kern w:val="0"/>
          <w:rtl/>
          <w14:ligatures w14:val="none"/>
        </w:rPr>
      </w:pPr>
      <w:r w:rsidRPr="007605E0">
        <w:rPr>
          <w:rFonts w:ascii="Times New Roman" w:eastAsia="Times New Roman" w:hAnsi="Times New Roman" w:cs="Times New Roman"/>
          <w:noProof/>
          <w:kern w:val="0"/>
          <w14:ligatures w14:val="none"/>
        </w:rPr>
        <mc:AlternateContent>
          <mc:Choice Requires="wps">
            <w:drawing>
              <wp:inline distT="0" distB="0" distL="0" distR="0" wp14:anchorId="0151AFD3" wp14:editId="35D2DBFD">
                <wp:extent cx="5274310" cy="1270"/>
                <wp:effectExtent l="0" t="31750" r="0" b="36830"/>
                <wp:docPr id="1174128578"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94D98E"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D06B6E4" w14:textId="77777777" w:rsidR="007605E0" w:rsidRPr="007605E0" w:rsidRDefault="007605E0" w:rsidP="007605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605E0">
        <w:rPr>
          <w:rFonts w:ascii="Times New Roman" w:eastAsia="Times New Roman" w:hAnsi="Times New Roman" w:cs="Times New Roman"/>
          <w:b/>
          <w:bCs/>
          <w:kern w:val="0"/>
          <w:sz w:val="36"/>
          <w:szCs w:val="36"/>
          <w:rtl/>
          <w14:ligatures w14:val="none"/>
        </w:rPr>
        <w:t>المحور الثاني: مواقع المستوطنات العبيدية في الخليج العربي</w:t>
      </w:r>
    </w:p>
    <w:p w14:paraId="35A34463" w14:textId="77777777" w:rsidR="007605E0" w:rsidRPr="007605E0" w:rsidRDefault="007605E0" w:rsidP="007605E0">
      <w:pPr>
        <w:bidi w:val="0"/>
        <w:spacing w:before="100" w:beforeAutospacing="1" w:after="100" w:afterAutospacing="1" w:line="240" w:lineRule="auto"/>
        <w:rPr>
          <w:rFonts w:ascii="Times New Roman" w:hAnsi="Times New Roman" w:cs="Times New Roman"/>
          <w:kern w:val="0"/>
          <w14:ligatures w14:val="none"/>
        </w:rPr>
      </w:pPr>
    </w:p>
    <w:p w14:paraId="538351AC" w14:textId="77777777" w:rsidR="007605E0" w:rsidRPr="007605E0" w:rsidRDefault="007605E0" w:rsidP="007605E0">
      <w:pPr>
        <w:spacing w:before="100" w:beforeAutospacing="1" w:after="100" w:afterAutospacing="1" w:line="240" w:lineRule="auto"/>
        <w:rPr>
          <w:rFonts w:ascii="Times New Roman" w:hAnsi="Times New Roman" w:cs="Times New Roman"/>
          <w:kern w:val="0"/>
          <w14:ligatures w14:val="none"/>
        </w:rPr>
      </w:pPr>
      <w:r w:rsidRPr="007605E0">
        <w:rPr>
          <w:rFonts w:ascii="Times New Roman" w:hAnsi="Times New Roman" w:cs="Times New Roman"/>
          <w:kern w:val="0"/>
          <w:rtl/>
          <w14:ligatures w14:val="none"/>
        </w:rPr>
        <w:t>أثبتت التنقيبات الأثرية وجود آثار لعبيد وادي الرافدين في عدة مواقع على سواحل الخليج، منها:</w:t>
      </w:r>
    </w:p>
    <w:p w14:paraId="6FE106CD" w14:textId="77777777" w:rsidR="007605E0" w:rsidRPr="007605E0" w:rsidRDefault="007605E0" w:rsidP="007605E0">
      <w:pPr>
        <w:numPr>
          <w:ilvl w:val="0"/>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جزيرة فيلكا (الكويت):</w:t>
      </w:r>
    </w:p>
    <w:p w14:paraId="26CEE614"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اكتُشف فيها فخار عبيدي نموذجي.</w:t>
      </w:r>
    </w:p>
    <w:p w14:paraId="6A5D4DA0"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دليل على التبادل التجاري مع وادي الرافدين.</w:t>
      </w:r>
    </w:p>
    <w:p w14:paraId="1877F474" w14:textId="77777777" w:rsidR="007605E0" w:rsidRPr="007605E0" w:rsidRDefault="007605E0" w:rsidP="007605E0">
      <w:pPr>
        <w:numPr>
          <w:ilvl w:val="0"/>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البحرين (دلمون لاحقًا):</w:t>
      </w:r>
    </w:p>
    <w:p w14:paraId="4CE9CD3F"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وجود فخار عبيدي في مواقع أثرية.</w:t>
      </w:r>
    </w:p>
    <w:p w14:paraId="4073D230"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ما يؤكد الصلة المبكرة مع جنوب العراق.</w:t>
      </w:r>
    </w:p>
    <w:p w14:paraId="36534F48" w14:textId="77777777" w:rsidR="007605E0" w:rsidRPr="007605E0" w:rsidRDefault="007605E0" w:rsidP="007605E0">
      <w:pPr>
        <w:numPr>
          <w:ilvl w:val="0"/>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السعودية (المنطقة الشرقية):</w:t>
      </w:r>
    </w:p>
    <w:p w14:paraId="351560D0"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موقع “الدوحة” و”العقير”.</w:t>
      </w:r>
    </w:p>
    <w:p w14:paraId="102FD55F"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وُجدت لقى فخارية مرتبطة بالعبيديين.</w:t>
      </w:r>
    </w:p>
    <w:p w14:paraId="16194DC5" w14:textId="77777777" w:rsidR="007605E0" w:rsidRPr="007605E0" w:rsidRDefault="007605E0" w:rsidP="007605E0">
      <w:pPr>
        <w:numPr>
          <w:ilvl w:val="0"/>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lastRenderedPageBreak/>
        <w:t>عُمان:</w:t>
      </w:r>
    </w:p>
    <w:p w14:paraId="63C93124" w14:textId="77777777" w:rsidR="007605E0" w:rsidRPr="007605E0" w:rsidRDefault="007605E0" w:rsidP="007605E0">
      <w:pPr>
        <w:numPr>
          <w:ilvl w:val="1"/>
          <w:numId w:val="2"/>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مواقع ساحلية تظهر انتشار التأثير العبيدي، خاصة عبر التجارة البحرية.</w:t>
      </w:r>
    </w:p>
    <w:p w14:paraId="386F2338" w14:textId="77777777" w:rsidR="007605E0" w:rsidRPr="007605E0" w:rsidRDefault="007605E0" w:rsidP="007605E0">
      <w:pPr>
        <w:bidi w:val="0"/>
        <w:spacing w:after="0" w:line="240" w:lineRule="auto"/>
        <w:rPr>
          <w:rFonts w:ascii="Times New Roman" w:eastAsia="Times New Roman" w:hAnsi="Times New Roman" w:cs="Times New Roman"/>
          <w:kern w:val="0"/>
          <w:rtl/>
          <w14:ligatures w14:val="none"/>
        </w:rPr>
      </w:pPr>
      <w:r w:rsidRPr="007605E0">
        <w:rPr>
          <w:rFonts w:ascii="Times New Roman" w:eastAsia="Times New Roman" w:hAnsi="Times New Roman" w:cs="Times New Roman"/>
          <w:noProof/>
          <w:kern w:val="0"/>
          <w14:ligatures w14:val="none"/>
        </w:rPr>
        <mc:AlternateContent>
          <mc:Choice Requires="wps">
            <w:drawing>
              <wp:inline distT="0" distB="0" distL="0" distR="0" wp14:anchorId="754E4470" wp14:editId="56A46596">
                <wp:extent cx="5274310" cy="1270"/>
                <wp:effectExtent l="0" t="33655" r="0" b="38735"/>
                <wp:docPr id="1891602632"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A45051"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1AA6FFD3" w14:textId="77777777" w:rsidR="007605E0" w:rsidRPr="007605E0" w:rsidRDefault="007605E0" w:rsidP="007605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605E0">
        <w:rPr>
          <w:rFonts w:ascii="Times New Roman" w:eastAsia="Times New Roman" w:hAnsi="Times New Roman" w:cs="Times New Roman"/>
          <w:b/>
          <w:bCs/>
          <w:kern w:val="0"/>
          <w:sz w:val="36"/>
          <w:szCs w:val="36"/>
          <w:rtl/>
          <w14:ligatures w14:val="none"/>
        </w:rPr>
        <w:t>المحور الثالث: مظاهر العلاقة الحضارية بين الخليج وبلاد الرافدين</w:t>
      </w:r>
    </w:p>
    <w:p w14:paraId="13B10B63" w14:textId="77777777" w:rsidR="007605E0" w:rsidRPr="007605E0" w:rsidRDefault="007605E0" w:rsidP="007605E0">
      <w:pPr>
        <w:numPr>
          <w:ilvl w:val="0"/>
          <w:numId w:val="3"/>
        </w:numPr>
        <w:spacing w:before="100" w:beforeAutospacing="1" w:after="100" w:afterAutospacing="1" w:line="240" w:lineRule="auto"/>
        <w:rPr>
          <w:rFonts w:ascii="Times New Roman" w:hAnsi="Times New Roman" w:cs="Times New Roman"/>
          <w:kern w:val="0"/>
          <w14:ligatures w14:val="none"/>
        </w:rPr>
      </w:pPr>
      <w:r w:rsidRPr="007605E0">
        <w:rPr>
          <w:rFonts w:ascii="Times New Roman" w:hAnsi="Times New Roman" w:cs="Times New Roman"/>
          <w:kern w:val="0"/>
          <w:rtl/>
          <w14:ligatures w14:val="none"/>
        </w:rPr>
        <w:t>التبادل التجاري:</w:t>
      </w:r>
    </w:p>
    <w:p w14:paraId="0A0E7E41" w14:textId="77777777" w:rsidR="007605E0" w:rsidRPr="007605E0" w:rsidRDefault="007605E0" w:rsidP="007605E0">
      <w:pPr>
        <w:numPr>
          <w:ilvl w:val="1"/>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تصدير الأحجار الكريمة والأصداف واللؤلؤ من الخليج.</w:t>
      </w:r>
    </w:p>
    <w:p w14:paraId="690E3A4F" w14:textId="77777777" w:rsidR="007605E0" w:rsidRPr="007605E0" w:rsidRDefault="007605E0" w:rsidP="007605E0">
      <w:pPr>
        <w:numPr>
          <w:ilvl w:val="1"/>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استيراد الفخار والمنتجات الزراعية من وادي الرافدين.</w:t>
      </w:r>
    </w:p>
    <w:p w14:paraId="61DFD977" w14:textId="77777777" w:rsidR="007605E0" w:rsidRPr="007605E0" w:rsidRDefault="007605E0" w:rsidP="007605E0">
      <w:pPr>
        <w:numPr>
          <w:ilvl w:val="0"/>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الانتشار الثقافي:</w:t>
      </w:r>
    </w:p>
    <w:p w14:paraId="63A6923B" w14:textId="77777777" w:rsidR="007605E0" w:rsidRPr="007605E0" w:rsidRDefault="007605E0" w:rsidP="007605E0">
      <w:pPr>
        <w:numPr>
          <w:ilvl w:val="1"/>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الفخار العبيدي المزخرف في الخليج دليل على تأثير ثقافي مباشر.</w:t>
      </w:r>
    </w:p>
    <w:p w14:paraId="0844BFC6" w14:textId="77777777" w:rsidR="007605E0" w:rsidRPr="007605E0" w:rsidRDefault="007605E0" w:rsidP="007605E0">
      <w:pPr>
        <w:numPr>
          <w:ilvl w:val="1"/>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انتقال بعض العناصر الفنية والزخرفية إلى الخليج.</w:t>
      </w:r>
    </w:p>
    <w:p w14:paraId="507DB657" w14:textId="77777777" w:rsidR="007605E0" w:rsidRPr="007605E0" w:rsidRDefault="007605E0" w:rsidP="007605E0">
      <w:pPr>
        <w:numPr>
          <w:ilvl w:val="0"/>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الاستقرار المبكر:</w:t>
      </w:r>
    </w:p>
    <w:p w14:paraId="01C91647" w14:textId="77777777" w:rsidR="007605E0" w:rsidRPr="007605E0" w:rsidRDefault="007605E0" w:rsidP="007605E0">
      <w:pPr>
        <w:numPr>
          <w:ilvl w:val="1"/>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المستوطنات العبيدية في الخليج تكشف عن وجود حياة مستقرة لا تقتصر على الصيد، بل تضمنت الزراعة والتبادل.</w:t>
      </w:r>
    </w:p>
    <w:p w14:paraId="1A686023" w14:textId="77777777" w:rsidR="007605E0" w:rsidRPr="007605E0" w:rsidRDefault="007605E0" w:rsidP="007605E0">
      <w:pPr>
        <w:numPr>
          <w:ilvl w:val="0"/>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التمهيد لحضارة دلمون لاحقًا:</w:t>
      </w:r>
    </w:p>
    <w:p w14:paraId="313CD6FD" w14:textId="77777777" w:rsidR="007605E0" w:rsidRPr="007605E0" w:rsidRDefault="007605E0" w:rsidP="007605E0">
      <w:pPr>
        <w:numPr>
          <w:ilvl w:val="1"/>
          <w:numId w:val="3"/>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المستوطنات العبيدية وضعت الأساس لعلاقات تجارية وثقافية استمرت حتى ظهور حضارة دلمون في الألف الثالث ق.م.</w:t>
      </w:r>
    </w:p>
    <w:p w14:paraId="06108234" w14:textId="77777777" w:rsidR="007605E0" w:rsidRPr="007605E0" w:rsidRDefault="007605E0" w:rsidP="007605E0">
      <w:pPr>
        <w:bidi w:val="0"/>
        <w:spacing w:after="0" w:line="240" w:lineRule="auto"/>
        <w:rPr>
          <w:rFonts w:ascii="Times New Roman" w:eastAsia="Times New Roman" w:hAnsi="Times New Roman" w:cs="Times New Roman"/>
          <w:kern w:val="0"/>
          <w:rtl/>
          <w14:ligatures w14:val="none"/>
        </w:rPr>
      </w:pPr>
      <w:r w:rsidRPr="007605E0">
        <w:rPr>
          <w:rFonts w:ascii="Times New Roman" w:eastAsia="Times New Roman" w:hAnsi="Times New Roman" w:cs="Times New Roman"/>
          <w:noProof/>
          <w:kern w:val="0"/>
          <w14:ligatures w14:val="none"/>
        </w:rPr>
        <mc:AlternateContent>
          <mc:Choice Requires="wps">
            <w:drawing>
              <wp:inline distT="0" distB="0" distL="0" distR="0" wp14:anchorId="7BDA10B8" wp14:editId="77C04BE4">
                <wp:extent cx="5274310" cy="1270"/>
                <wp:effectExtent l="0" t="33655" r="0" b="38735"/>
                <wp:docPr id="2065486942"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EEAEDA"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425FB3A5" w14:textId="77777777" w:rsidR="007605E0" w:rsidRPr="007605E0" w:rsidRDefault="007605E0" w:rsidP="007605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605E0">
        <w:rPr>
          <w:rFonts w:ascii="Times New Roman" w:eastAsia="Times New Roman" w:hAnsi="Times New Roman" w:cs="Times New Roman"/>
          <w:b/>
          <w:bCs/>
          <w:kern w:val="0"/>
          <w:sz w:val="36"/>
          <w:szCs w:val="36"/>
          <w:rtl/>
          <w14:ligatures w14:val="none"/>
        </w:rPr>
        <w:t>المحور الرابع: أهمية دراسة هذه المستوطنات</w:t>
      </w:r>
    </w:p>
    <w:p w14:paraId="6C7BA7F7" w14:textId="77777777" w:rsidR="007605E0" w:rsidRPr="007605E0" w:rsidRDefault="007605E0" w:rsidP="007605E0">
      <w:pPr>
        <w:numPr>
          <w:ilvl w:val="0"/>
          <w:numId w:val="4"/>
        </w:numPr>
        <w:spacing w:before="100" w:beforeAutospacing="1" w:after="100" w:afterAutospacing="1" w:line="240" w:lineRule="auto"/>
        <w:rPr>
          <w:rFonts w:ascii="Times New Roman" w:hAnsi="Times New Roman" w:cs="Times New Roman"/>
          <w:kern w:val="0"/>
          <w14:ligatures w14:val="none"/>
        </w:rPr>
      </w:pPr>
      <w:r w:rsidRPr="007605E0">
        <w:rPr>
          <w:rFonts w:ascii="Times New Roman" w:hAnsi="Times New Roman" w:cs="Times New Roman"/>
          <w:kern w:val="0"/>
          <w:rtl/>
          <w14:ligatures w14:val="none"/>
        </w:rPr>
        <w:t>أثرية: تكشف عن الامتداد الجغرافي لحضارة العبيد.</w:t>
      </w:r>
    </w:p>
    <w:p w14:paraId="5EE7A591" w14:textId="77777777" w:rsidR="007605E0" w:rsidRPr="007605E0" w:rsidRDefault="007605E0" w:rsidP="007605E0">
      <w:pPr>
        <w:numPr>
          <w:ilvl w:val="0"/>
          <w:numId w:val="4"/>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حضارية: تبرز التفاعل المبكر بين الخليج وبلاد الرافدين.</w:t>
      </w:r>
    </w:p>
    <w:p w14:paraId="77C788A9" w14:textId="77777777" w:rsidR="007605E0" w:rsidRPr="007605E0" w:rsidRDefault="007605E0" w:rsidP="007605E0">
      <w:pPr>
        <w:numPr>
          <w:ilvl w:val="0"/>
          <w:numId w:val="4"/>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تاريخية: تؤكد أن الخليج لم يكن معزولًا بل كان جزءًا من شبكة حضارية واسعة.</w:t>
      </w:r>
    </w:p>
    <w:p w14:paraId="3CD2A532" w14:textId="77777777" w:rsidR="007605E0" w:rsidRPr="007605E0" w:rsidRDefault="007605E0" w:rsidP="007605E0">
      <w:pPr>
        <w:numPr>
          <w:ilvl w:val="0"/>
          <w:numId w:val="4"/>
        </w:numPr>
        <w:spacing w:before="100" w:beforeAutospacing="1" w:after="100" w:afterAutospacing="1" w:line="240" w:lineRule="auto"/>
        <w:rPr>
          <w:rFonts w:ascii="Times New Roman" w:hAnsi="Times New Roman" w:cs="Times New Roman"/>
          <w:kern w:val="0"/>
          <w:rtl/>
          <w14:ligatures w14:val="none"/>
        </w:rPr>
      </w:pPr>
      <w:r w:rsidRPr="007605E0">
        <w:rPr>
          <w:rFonts w:ascii="Times New Roman" w:hAnsi="Times New Roman" w:cs="Times New Roman"/>
          <w:kern w:val="0"/>
          <w:rtl/>
          <w14:ligatures w14:val="none"/>
        </w:rPr>
        <w:t>اقتصادية: توضح بدايات التجارة البحرية التي ستزدهر لاحقًا في حضارة دلمون ومجان.</w:t>
      </w:r>
    </w:p>
    <w:p w14:paraId="781834EB" w14:textId="77777777" w:rsidR="007605E0" w:rsidRPr="007605E0" w:rsidRDefault="007605E0" w:rsidP="007605E0">
      <w:pPr>
        <w:bidi w:val="0"/>
        <w:spacing w:after="0" w:line="240" w:lineRule="auto"/>
        <w:rPr>
          <w:rFonts w:ascii="Times New Roman" w:eastAsia="Times New Roman" w:hAnsi="Times New Roman" w:cs="Times New Roman"/>
          <w:kern w:val="0"/>
          <w:rtl/>
          <w14:ligatures w14:val="none"/>
        </w:rPr>
      </w:pPr>
      <w:r w:rsidRPr="007605E0">
        <w:rPr>
          <w:rFonts w:ascii="Times New Roman" w:eastAsia="Times New Roman" w:hAnsi="Times New Roman" w:cs="Times New Roman"/>
          <w:noProof/>
          <w:kern w:val="0"/>
          <w14:ligatures w14:val="none"/>
        </w:rPr>
        <mc:AlternateContent>
          <mc:Choice Requires="wps">
            <w:drawing>
              <wp:inline distT="0" distB="0" distL="0" distR="0" wp14:anchorId="272C5CFF" wp14:editId="6BF85D27">
                <wp:extent cx="5274310" cy="1270"/>
                <wp:effectExtent l="0" t="33655" r="0" b="38735"/>
                <wp:docPr id="200067311"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D0C42D"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53B31FB2" w14:textId="77777777" w:rsidR="007605E0" w:rsidRPr="007605E0" w:rsidRDefault="007605E0" w:rsidP="007605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605E0">
        <w:rPr>
          <w:rFonts w:ascii="Times New Roman" w:eastAsia="Times New Roman" w:hAnsi="Times New Roman" w:cs="Times New Roman"/>
          <w:b/>
          <w:bCs/>
          <w:kern w:val="0"/>
          <w:sz w:val="36"/>
          <w:szCs w:val="36"/>
          <w:rtl/>
          <w14:ligatures w14:val="none"/>
        </w:rPr>
        <w:t>الخاتمة</w:t>
      </w:r>
    </w:p>
    <w:p w14:paraId="19D3C0F7" w14:textId="77777777" w:rsidR="007605E0" w:rsidRPr="007605E0" w:rsidRDefault="007605E0" w:rsidP="007605E0">
      <w:pPr>
        <w:bidi w:val="0"/>
        <w:spacing w:before="100" w:beforeAutospacing="1" w:after="100" w:afterAutospacing="1" w:line="240" w:lineRule="auto"/>
        <w:rPr>
          <w:rFonts w:ascii="Times New Roman" w:hAnsi="Times New Roman" w:cs="Times New Roman"/>
          <w:kern w:val="0"/>
          <w14:ligatures w14:val="none"/>
        </w:rPr>
      </w:pPr>
    </w:p>
    <w:p w14:paraId="6B9E7A47" w14:textId="77777777" w:rsidR="007605E0" w:rsidRPr="007605E0" w:rsidRDefault="007605E0" w:rsidP="007605E0">
      <w:pPr>
        <w:spacing w:before="100" w:beforeAutospacing="1" w:after="100" w:afterAutospacing="1" w:line="240" w:lineRule="auto"/>
        <w:rPr>
          <w:rFonts w:ascii="Times New Roman" w:hAnsi="Times New Roman" w:cs="Times New Roman"/>
          <w:kern w:val="0"/>
          <w14:ligatures w14:val="none"/>
        </w:rPr>
      </w:pPr>
      <w:r w:rsidRPr="007605E0">
        <w:rPr>
          <w:rFonts w:ascii="Times New Roman" w:hAnsi="Times New Roman" w:cs="Times New Roman"/>
          <w:kern w:val="0"/>
          <w:rtl/>
          <w14:ligatures w14:val="none"/>
        </w:rPr>
        <w:t>إن المستوطنات العبيدية في الخليج العربي تمثل دليلًا حيًا على عمق العلاقات الحضارية بين الخليج ووادي الرافدين منذ فجر التاريخ. فهي تكشف عن حركة تبادل تجاري وثقافي مبكر، وتمهد لفهم الدور المحوري الذي لعبه الخليج لاحقًا في شبكة التجارة العالمية القديمة</w:t>
      </w:r>
    </w:p>
    <w:p w14:paraId="223F23F5" w14:textId="77777777" w:rsidR="007605E0" w:rsidRDefault="007605E0"/>
    <w:sectPr w:rsidR="007605E0"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2C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C017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CA56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C37D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187408">
    <w:abstractNumId w:val="2"/>
  </w:num>
  <w:num w:numId="2" w16cid:durableId="427427417">
    <w:abstractNumId w:val="3"/>
  </w:num>
  <w:num w:numId="3" w16cid:durableId="1890997234">
    <w:abstractNumId w:val="1"/>
  </w:num>
  <w:num w:numId="4" w16cid:durableId="77209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E0"/>
    <w:rsid w:val="0058073E"/>
    <w:rsid w:val="007605E0"/>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665506D"/>
  <w15:chartTrackingRefBased/>
  <w15:docId w15:val="{F0337180-C53C-3B47-B7D4-6E8BAC80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605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7605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05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05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05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05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05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05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05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605E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605E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605E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605E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605E0"/>
    <w:rPr>
      <w:rFonts w:eastAsiaTheme="majorEastAsia" w:cstheme="majorBidi"/>
      <w:color w:val="2F5496" w:themeColor="accent1" w:themeShade="BF"/>
    </w:rPr>
  </w:style>
  <w:style w:type="character" w:customStyle="1" w:styleId="6Char">
    <w:name w:val="عنوان 6 Char"/>
    <w:basedOn w:val="a0"/>
    <w:link w:val="6"/>
    <w:uiPriority w:val="9"/>
    <w:semiHidden/>
    <w:rsid w:val="007605E0"/>
    <w:rPr>
      <w:rFonts w:eastAsiaTheme="majorEastAsia" w:cstheme="majorBidi"/>
      <w:i/>
      <w:iCs/>
      <w:color w:val="595959" w:themeColor="text1" w:themeTint="A6"/>
    </w:rPr>
  </w:style>
  <w:style w:type="character" w:customStyle="1" w:styleId="7Char">
    <w:name w:val="عنوان 7 Char"/>
    <w:basedOn w:val="a0"/>
    <w:link w:val="7"/>
    <w:uiPriority w:val="9"/>
    <w:semiHidden/>
    <w:rsid w:val="007605E0"/>
    <w:rPr>
      <w:rFonts w:eastAsiaTheme="majorEastAsia" w:cstheme="majorBidi"/>
      <w:color w:val="595959" w:themeColor="text1" w:themeTint="A6"/>
    </w:rPr>
  </w:style>
  <w:style w:type="character" w:customStyle="1" w:styleId="8Char">
    <w:name w:val="عنوان 8 Char"/>
    <w:basedOn w:val="a0"/>
    <w:link w:val="8"/>
    <w:uiPriority w:val="9"/>
    <w:semiHidden/>
    <w:rsid w:val="007605E0"/>
    <w:rPr>
      <w:rFonts w:eastAsiaTheme="majorEastAsia" w:cstheme="majorBidi"/>
      <w:i/>
      <w:iCs/>
      <w:color w:val="272727" w:themeColor="text1" w:themeTint="D8"/>
    </w:rPr>
  </w:style>
  <w:style w:type="character" w:customStyle="1" w:styleId="9Char">
    <w:name w:val="عنوان 9 Char"/>
    <w:basedOn w:val="a0"/>
    <w:link w:val="9"/>
    <w:uiPriority w:val="9"/>
    <w:semiHidden/>
    <w:rsid w:val="007605E0"/>
    <w:rPr>
      <w:rFonts w:eastAsiaTheme="majorEastAsia" w:cstheme="majorBidi"/>
      <w:color w:val="272727" w:themeColor="text1" w:themeTint="D8"/>
    </w:rPr>
  </w:style>
  <w:style w:type="paragraph" w:styleId="a3">
    <w:name w:val="Title"/>
    <w:basedOn w:val="a"/>
    <w:next w:val="a"/>
    <w:link w:val="Char"/>
    <w:uiPriority w:val="10"/>
    <w:qFormat/>
    <w:rsid w:val="00760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605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05E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605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05E0"/>
    <w:pPr>
      <w:spacing w:before="160"/>
      <w:jc w:val="center"/>
    </w:pPr>
    <w:rPr>
      <w:i/>
      <w:iCs/>
      <w:color w:val="404040" w:themeColor="text1" w:themeTint="BF"/>
    </w:rPr>
  </w:style>
  <w:style w:type="character" w:customStyle="1" w:styleId="Char1">
    <w:name w:val="اقتباس Char"/>
    <w:basedOn w:val="a0"/>
    <w:link w:val="a5"/>
    <w:uiPriority w:val="29"/>
    <w:rsid w:val="007605E0"/>
    <w:rPr>
      <w:i/>
      <w:iCs/>
      <w:color w:val="404040" w:themeColor="text1" w:themeTint="BF"/>
    </w:rPr>
  </w:style>
  <w:style w:type="paragraph" w:styleId="a6">
    <w:name w:val="List Paragraph"/>
    <w:basedOn w:val="a"/>
    <w:uiPriority w:val="34"/>
    <w:qFormat/>
    <w:rsid w:val="007605E0"/>
    <w:pPr>
      <w:ind w:left="720"/>
      <w:contextualSpacing/>
    </w:pPr>
  </w:style>
  <w:style w:type="character" w:styleId="a7">
    <w:name w:val="Intense Emphasis"/>
    <w:basedOn w:val="a0"/>
    <w:uiPriority w:val="21"/>
    <w:qFormat/>
    <w:rsid w:val="007605E0"/>
    <w:rPr>
      <w:i/>
      <w:iCs/>
      <w:color w:val="2F5496" w:themeColor="accent1" w:themeShade="BF"/>
    </w:rPr>
  </w:style>
  <w:style w:type="paragraph" w:styleId="a8">
    <w:name w:val="Intense Quote"/>
    <w:basedOn w:val="a"/>
    <w:next w:val="a"/>
    <w:link w:val="Char2"/>
    <w:uiPriority w:val="30"/>
    <w:qFormat/>
    <w:rsid w:val="00760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605E0"/>
    <w:rPr>
      <w:i/>
      <w:iCs/>
      <w:color w:val="2F5496" w:themeColor="accent1" w:themeShade="BF"/>
    </w:rPr>
  </w:style>
  <w:style w:type="character" w:styleId="a9">
    <w:name w:val="Intense Reference"/>
    <w:basedOn w:val="a0"/>
    <w:uiPriority w:val="32"/>
    <w:qFormat/>
    <w:rsid w:val="007605E0"/>
    <w:rPr>
      <w:b/>
      <w:bCs/>
      <w:smallCaps/>
      <w:color w:val="2F5496" w:themeColor="accent1" w:themeShade="BF"/>
      <w:spacing w:val="5"/>
    </w:rPr>
  </w:style>
  <w:style w:type="paragraph" w:customStyle="1" w:styleId="p1">
    <w:name w:val="p1"/>
    <w:basedOn w:val="a"/>
    <w:rsid w:val="007605E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7605E0"/>
  </w:style>
  <w:style w:type="paragraph" w:customStyle="1" w:styleId="p2">
    <w:name w:val="p2"/>
    <w:basedOn w:val="a"/>
    <w:rsid w:val="007605E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7605E0"/>
  </w:style>
  <w:style w:type="paragraph" w:customStyle="1" w:styleId="p3">
    <w:name w:val="p3"/>
    <w:basedOn w:val="a"/>
    <w:rsid w:val="007605E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76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2025-10-02T17:13:00Z</dcterms:created>
  <dcterms:modified xsi:type="dcterms:W3CDTF">2025-10-02T17:13:00Z</dcterms:modified>
</cp:coreProperties>
</file>